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Liberal construction</w:t>
      </w:r>
    </w:p>
    <w:p>
      <w:pPr>
        <w:jc w:val="both"/>
        <w:spacing w:before="100" w:after="100"/>
        <w:ind w:start="360"/>
        <w:ind w:firstLine="360"/>
      </w:pPr>
      <w:r>
        <w:rPr/>
      </w:r>
      <w:r>
        <w:rPr/>
      </w:r>
      <w:r>
        <w:t xml:space="preserve">This subchapter shall be liberally construed to affect the legislative purpose of enhancing the marketability of the title to land by eliminating the possibility of ancient marital interests that are outstanding on the record but are unclaimed.</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§475.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