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Liability</w:t>
      </w:r>
    </w:p>
    <w:p>
      <w:pPr>
        <w:jc w:val="both"/>
        <w:spacing w:before="100" w:after="100"/>
        <w:ind w:start="360"/>
        <w:ind w:firstLine="360"/>
      </w:pPr>
      <w:r>
        <w:rPr/>
      </w:r>
      <w:r>
        <w:rPr/>
      </w:r>
      <w:r>
        <w:t xml:space="preserve">A seller is not liable for any error, inaccuracy or omission of any information required to be delivered to the purchaser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Without actual knowledge.</w:t>
        <w:t xml:space="preserve"> </w:t>
      </w:r>
      <w:r>
        <w:t xml:space="preserve"> </w:t>
      </w:r>
      <w:r>
        <w:t xml:space="preserve">The error, inaccuracy or omission was not within the actual knowledge of the seller or was based on information provided by a public agency or by another person with a professional license or special knowledge who provided a written or oral report or opinion that the seller reasonably believed to be correct;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Without negligence.</w:t>
        <w:t xml:space="preserve"> </w:t>
      </w:r>
      <w:r>
        <w:t xml:space="preserve"> </w:t>
      </w:r>
      <w:r>
        <w:t xml:space="preserve">The seller was not negligent in obtaining information from a 3rd party and transmitting that information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§177.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