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Duty of finder of money or goods worth $3 or more</w:t>
      </w:r>
    </w:p>
    <w:p>
      <w:pPr>
        <w:jc w:val="both"/>
        <w:spacing w:before="100" w:after="100"/>
        <w:ind w:start="360"/>
        <w:ind w:firstLine="360"/>
      </w:pPr>
      <w:r>
        <w:rPr/>
      </w:r>
      <w:r>
        <w:rPr/>
      </w:r>
      <w:r>
        <w:t xml:space="preserve">Whoever finds lost money or goods of the value of $3 or more shall, if the owner is unknown, within 7 days give notice thereof in writing to the clerk of the town where the money or goods are found and post a notification thereof in some public place in said town. If the value is $10 or more, the finder, in addition to the notice to the town clerk and the notification to be posted, shall, within one month after finding, publish a notice thereof in some newspaper published in the town, if any, otherwise in some newspaper published in the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Duty of finder of money or goods worth $3 or more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Duty of finder of money or goods worth $3 or more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§1051. DUTY OF FINDER OF MONEY OR GOODS WORTH $3 OR MORE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