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License requirement; exceptions</w:t>
      </w:r>
    </w:p>
    <w:p>
      <w:pPr>
        <w:jc w:val="both"/>
        <w:spacing w:before="100" w:after="0"/>
        <w:ind w:start="360"/>
        <w:ind w:firstLine="360"/>
      </w:pPr>
      <w:r>
        <w:rPr>
          <w:b/>
        </w:rPr>
        <w:t>1</w:t>
        <w:t xml:space="preserve">.  </w:t>
      </w:r>
      <w:r>
        <w:rPr>
          <w:b/>
        </w:rPr>
      </w:r>
      <w:r>
        <w:t xml:space="preserve"> </w:t>
      </w:r>
      <w:r>
        <w:t xml:space="preserve">No person may act as a security guard without first obtaining from the commissioner a license to be a contract security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Any proprietary security organization or any employee thereof;</w:t>
      </w:r>
      <w:r>
        <w:t xml:space="preserve">  </w:t>
      </w:r>
      <w:r xmlns:wp="http://schemas.openxmlformats.org/drawingml/2010/wordprocessingDrawing" xmlns:w15="http://schemas.microsoft.com/office/word/2012/wordml">
        <w:rPr>
          <w:rFonts w:ascii="Arial" w:hAnsi="Arial" w:cs="Arial"/>
          <w:sz w:val="22"/>
          <w:szCs w:val="22"/>
        </w:rPr>
        <w:t xml:space="preserve">[PL 1987, c. 170, §6 (AMD).]</w:t>
      </w:r>
    </w:p>
    <w:p>
      <w:pPr>
        <w:jc w:val="both"/>
        <w:spacing w:before="100" w:after="0"/>
        <w:ind w:start="720"/>
      </w:pPr>
      <w:r>
        <w:rPr/>
        <w:t>B</w:t>
        <w:t xml:space="preserve">.  </w:t>
      </w:r>
      <w:r>
        <w:rPr/>
      </w:r>
      <w:r>
        <w:t xml:space="preserve">Any person employed by a person possessing a valid license to be a contract security company;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Any person possessing a valid contract security company license granted under any prior existing provision of law of this State, provided that upon expiration of that license the person shall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§9404. License requirement;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License requirement;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§9404. LICENSE REQUIREMENT;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