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18212</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including adopting a code of conduct and standards of practice.  Except where otherwise indicated,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