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13712</w:t>
        <w:t xml:space="preserve">.  </w:t>
      </w:r>
      <w:r>
        <w:rPr>
          <w:b/>
        </w:rPr>
        <w:t xml:space="preserve">Membership</w:t>
      </w:r>
    </w:p>
    <w:p>
      <w:pPr>
        <w:jc w:val="both"/>
        <w:spacing w:before="100" w:after="100"/>
        <w:ind w:start="360"/>
        <w:ind w:firstLine="360"/>
      </w:pPr>
      <w:r>
        <w:rPr/>
      </w:r>
      <w:r>
        <w:rPr/>
      </w:r>
      <w:r>
        <w:t xml:space="preserve">The board consists of 7 members, two of whom must be public members as defined in </w:t>
      </w:r>
      <w:r>
        <w:t>Title 5, section 12004‑A</w:t>
      </w:r>
      <w:r>
        <w:t xml:space="preserve"> and the remainder of whom must be licensed pharmacists who possess the qualifications specified in </w:t>
      </w:r>
      <w:r>
        <w:t>section 13713</w:t>
      </w:r>
      <w:r>
        <w:t xml:space="preserve">. At the time of the appointment, at least one of the licensed pharmacists must be a hospital pharmacist, at least one must be a chain pharmacist and at least one must be an independent pharmacist.</w:t>
      </w:r>
      <w:r>
        <w:t xml:space="preserve">  </w:t>
      </w:r>
      <w:r xmlns:wp="http://schemas.openxmlformats.org/drawingml/2010/wordprocessingDrawing" xmlns:w15="http://schemas.microsoft.com/office/word/2012/wordml">
        <w:rPr>
          <w:rFonts w:ascii="Arial" w:hAnsi="Arial" w:cs="Arial"/>
          <w:sz w:val="22"/>
          <w:szCs w:val="22"/>
        </w:rPr>
        <w:t xml:space="preserve">[PL 2007, c. 402, Pt. DD,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