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225. LOGS AND LUMBER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