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453</w:t>
        <w:t xml:space="preserve">.  </w:t>
      </w:r>
      <w:r>
        <w:rPr>
          <w:b/>
        </w:rPr>
        <w:t xml:space="preserve">Communications centers</w:t>
      </w:r>
    </w:p>
    <w:p>
      <w:pPr>
        <w:jc w:val="both"/>
        <w:spacing w:before="100" w:after="100"/>
        <w:ind w:start="360"/>
        <w:ind w:firstLine="360"/>
      </w:pPr>
      <w:r>
        <w:rPr/>
      </w:r>
      <w:r>
        <w:rPr/>
      </w:r>
      <w:r>
        <w:t xml:space="preserve">Each county may establish a communications center, separate from any communications function of the sheriff's department and capable of serving the communication needs of the county and the municipalities that may wish to use the center.</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commissioners, after consulting with municipal officers, are responsible for setting policies for the communications center.  They shall appoint a director or chief dispatcher who is responsible for carrying out their policies.  The director or chief dispatcher, if qualified, may be the director of the county emergency management agency.</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communications center shall provide communication services for the sheriff's department, county emergency management agency, county or municipal rescue or ambulance services, county or municipal fire departments or municipal police departments.</w:t>
      </w:r>
      <w:r>
        <w:t xml:space="preserve">  </w:t>
      </w:r>
      <w:r xmlns:wp="http://schemas.openxmlformats.org/drawingml/2010/wordprocessingDrawing" xmlns:w15="http://schemas.microsoft.com/office/word/2012/wordml">
        <w:rPr>
          <w:rFonts w:ascii="Arial" w:hAnsi="Arial" w:cs="Arial"/>
          <w:sz w:val="22"/>
          <w:szCs w:val="22"/>
        </w:rPr>
        <w:t xml:space="preserve">[PL 2013, c. 462, §8 (AMD).]</w:t>
      </w:r>
    </w:p>
    <w:p>
      <w:pPr>
        <w:jc w:val="both"/>
        <w:spacing w:before="100" w:after="100"/>
        <w:ind w:start="360"/>
        <w:ind w:firstLine="360"/>
      </w:pPr>
      <w:r>
        <w:rPr/>
      </w:r>
      <w:r>
        <w:rPr/>
      </w:r>
      <w:r>
        <w:t xml:space="preserve">The county commissioners, after consulting with the director or chief dispatcher, may enter into an agreement with a municipality under </w:t>
      </w:r>
      <w:r>
        <w:t>section 107</w:t>
      </w:r>
      <w:r>
        <w:t xml:space="preserve"> to provide specific communications for municipal law enforcement functions, including dispatching of municipal units, in return for payment for these services.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 C106 (NEW). PL 1989, c. 6 (AMD). PL 1989, c. 9, §2 (AMD). PL 1989, c. 104, §§C8, 10 (AMD). PL 2013, c. 462,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§453. Communications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§453. Communications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§453. COMMUNICATIONS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