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Funding criteria</w:t>
      </w:r>
    </w:p>
    <w:p>
      <w:pPr>
        <w:jc w:val="both"/>
        <w:spacing w:before="100" w:after="0"/>
        <w:ind w:start="360"/>
        <w:ind w:firstLine="360"/>
      </w:pPr>
      <w:r>
        <w:rPr>
          <w:b/>
        </w:rPr>
        <w:t>1</w:t>
        <w:t xml:space="preserve">.  </w:t>
      </w:r>
      <w:r>
        <w:rPr>
          <w:b/>
        </w:rPr>
        <w:t xml:space="preserve">Planning grants.</w:t>
        <w:t xml:space="preserve"> </w:t>
      </w:r>
      <w:r>
        <w:t xml:space="preserve"> </w:t>
      </w:r>
      <w:r>
        <w:t xml:space="preserve">In evaluating and ranking an application for a planning grant, the review panel established under </w:t>
      </w:r>
      <w:r>
        <w:t>section 6208</w:t>
      </w:r>
      <w:r>
        <w:t xml:space="preserve"> shall consider whether the technical assistance and facilitation for which assistance is sought is reasonably likely to result in development and subsequent submission of a proposal for a qualifying project; the projected estimate of the aggregate reduction in the demand for property tax revenue;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2</w:t>
        <w:t xml:space="preserve">.  </w:t>
      </w:r>
      <w:r>
        <w:rPr>
          <w:b/>
        </w:rPr>
        <w:t xml:space="preserve">Cooperative services grants; capital grants.</w:t>
        <w:t xml:space="preserve"> </w:t>
      </w:r>
      <w:r>
        <w:t xml:space="preserve"> </w:t>
      </w:r>
      <w:r>
        <w:t xml:space="preserve">In evaluating and ranking each application for a cooperative services grant or a capital grant, the review panel established under </w:t>
      </w:r>
      <w:r>
        <w:t>section 6208</w:t>
      </w:r>
      <w:r>
        <w:t xml:space="preserve"> shall consider the aggregate reduction in the demand for property tax revenue in the geographical region covered by the municipalities, counties and regional government subdivisions cooperating in the qualifying project, the chance of success of the project and the ability to replicate the efficiency achieved by the project in other regions;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§6207. Funding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Funding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§6207. FUNDING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