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Damage to meridians; penalty</w:t>
      </w:r>
    </w:p>
    <w:p>
      <w:pPr>
        <w:jc w:val="both"/>
        <w:spacing w:before="100" w:after="100"/>
        <w:ind w:start="360"/>
        <w:ind w:firstLine="360"/>
      </w:pPr>
      <w:r>
        <w:rPr/>
      </w:r>
      <w:r>
        <w:rPr/>
      </w:r>
      <w:r>
        <w:t xml:space="preserve">Whoever willfully displaces, alters, defaces, breaks or otherwise damages any of the pillars or points, plates, enclosures, bars, locks, bolts or any part of the structure of any meridian line or standard of length: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Civil violation.</w:t>
        <w:t xml:space="preserve"> </w:t>
      </w:r>
      <w:r>
        <w:t xml:space="preserve"> </w:t>
      </w:r>
      <w:r>
        <w:t xml:space="preserve">Commits a civil violation for which a forfeiture of not more than $100 may be adjudged, to be recovered on complaint in the county where the structure is located, half to the complainant and half to the county;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Liable for cost of repairs.</w:t>
        <w:t xml:space="preserve"> </w:t>
      </w:r>
      <w:r>
        <w:t xml:space="preserve"> </w:t>
      </w:r>
      <w:r>
        <w:t xml:space="preserve">Is liable in a civil action for the amount necessarily expended in repairing damages caused by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Damage to meridians;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Damage to meridians;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§1006. DAMAGE TO MERIDIANS;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