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33</w:t>
      </w:r>
    </w:p>
    <w:p>
      <w:pPr>
        <w:jc w:val="center"/>
        <w:ind w:start="360"/>
        <w:spacing w:before="300" w:after="300"/>
      </w:pPr>
      <w:r>
        <w:rPr>
          <w:b/>
        </w:rPr>
        <w:t xml:space="preserve">MAINE LIQUOR LIABILITY ACT</w:t>
      </w:r>
    </w:p>
    <w:p>
      <w:pPr>
        <w:jc w:val="center"/>
        <w:ind w:start="360"/>
        <w:spacing w:before="300" w:after="300"/>
      </w:pPr>
      <w:r>
        <w:rPr>
          <w:b/>
        </w:rPr>
        <w:t>(REPEALED)</w:t>
      </w:r>
    </w:p>
    <w:p>
      <w:pPr>
        <w:jc w:val="both"/>
        <w:spacing w:before="100" w:after="100"/>
        <w:ind w:start="1080" w:hanging="720"/>
      </w:pPr>
      <w:r>
        <w:rPr>
          <w:b/>
        </w:rPr>
        <w:t>§</w:t>
        <w:t>1401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jc w:val="both"/>
        <w:spacing w:before="100" w:after="100"/>
        <w:ind w:start="1080" w:hanging="720"/>
      </w:pPr>
      <w:r>
        <w:rPr>
          <w:b/>
        </w:rPr>
        <w:t>§</w:t>
        <w:t>1402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jc w:val="both"/>
        <w:spacing w:before="100" w:after="100"/>
        <w:ind w:start="1080" w:hanging="720"/>
      </w:pPr>
      <w:r>
        <w:rPr>
          <w:b/>
        </w:rPr>
        <w:t>§</w:t>
        <w:t>1403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jc w:val="both"/>
        <w:spacing w:before="100" w:after="100"/>
        <w:ind w:start="1080" w:hanging="720"/>
      </w:pPr>
      <w:r>
        <w:rPr>
          <w:b/>
        </w:rPr>
        <w:t>§</w:t>
        <w:t>1404</w:t>
        <w:t xml:space="preserve">.  </w:t>
      </w:r>
      <w:r>
        <w:rPr>
          <w:b/>
        </w:rPr>
        <w:t xml:space="preserve">Plaintiffs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jc w:val="both"/>
        <w:spacing w:before="100" w:after="100"/>
        <w:ind w:start="1080" w:hanging="720"/>
      </w:pPr>
      <w:r>
        <w:rPr>
          <w:b/>
        </w:rPr>
        <w:t>§</w:t>
        <w:t>1405</w:t>
        <w:t xml:space="preserve">.  </w:t>
      </w:r>
      <w:r>
        <w:rPr>
          <w:b/>
        </w:rPr>
        <w:t xml:space="preserve">Defendants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jc w:val="both"/>
        <w:spacing w:before="100" w:after="100"/>
        <w:ind w:start="1080" w:hanging="720"/>
      </w:pPr>
      <w:r>
        <w:rPr>
          <w:b/>
        </w:rPr>
        <w:t>§</w:t>
        <w:t>1406</w:t>
        <w:t xml:space="preserve">.  </w:t>
      </w:r>
      <w:r>
        <w:rPr>
          <w:b/>
        </w:rPr>
        <w:t xml:space="preserve">Negligent service of liquor;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jc w:val="both"/>
        <w:spacing w:before="100" w:after="100"/>
        <w:ind w:start="1080" w:hanging="720"/>
      </w:pPr>
      <w:r>
        <w:rPr>
          <w:b/>
        </w:rPr>
        <w:t>§</w:t>
        <w:t>1407</w:t>
        <w:t xml:space="preserve">.  </w:t>
      </w:r>
      <w:r>
        <w:rPr>
          <w:b/>
        </w:rPr>
        <w:t xml:space="preserve">Reckless service of liquor;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jc w:val="both"/>
        <w:spacing w:before="100" w:after="100"/>
        <w:ind w:start="1080" w:hanging="720"/>
      </w:pPr>
      <w:r>
        <w:rPr>
          <w:b/>
        </w:rPr>
        <w:t>§</w:t>
        <w:t>1408</w:t>
        <w:t xml:space="preserve">.  </w:t>
      </w:r>
      <w:r>
        <w:rPr>
          <w:b/>
        </w:rPr>
        <w:t xml:space="preserve">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jc w:val="both"/>
        <w:spacing w:before="100" w:after="100"/>
        <w:ind w:start="1080" w:hanging="720"/>
      </w:pPr>
      <w:r>
        <w:rPr>
          <w:b/>
        </w:rPr>
        <w:t>§</w:t>
        <w:t>1409</w:t>
        <w:t xml:space="preserve">.  </w:t>
      </w:r>
      <w:r>
        <w:rPr>
          <w:b/>
        </w:rPr>
        <w:t xml:space="preserve">Limit on awards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jc w:val="both"/>
        <w:spacing w:before="100" w:after="100"/>
        <w:ind w:start="1080" w:hanging="720"/>
      </w:pPr>
      <w:r>
        <w:rPr>
          <w:b/>
        </w:rPr>
        <w:t>§</w:t>
        <w:t>1410</w:t>
        <w:t xml:space="preserve">.  </w:t>
      </w:r>
      <w:r>
        <w:rPr>
          <w:b/>
        </w:rPr>
        <w:t xml:space="preserve">Common law defenses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jc w:val="both"/>
        <w:spacing w:before="100" w:after="100"/>
        <w:ind w:start="1080" w:hanging="720"/>
      </w:pPr>
      <w:r>
        <w:rPr>
          <w:b/>
        </w:rPr>
        <w:t>§</w:t>
        <w:t>1411</w:t>
        <w:t xml:space="preserve">.  </w:t>
      </w:r>
      <w:r>
        <w:rPr>
          <w:b/>
        </w:rPr>
        <w:t xml:space="preserve">Exclusive remedy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jc w:val="both"/>
        <w:spacing w:before="100" w:after="100"/>
        <w:ind w:start="1080" w:hanging="720"/>
      </w:pPr>
      <w:r>
        <w:rPr>
          <w:b/>
        </w:rPr>
        <w:t>§</w:t>
        <w:t>1412</w:t>
        <w:t xml:space="preserve">.  </w:t>
      </w:r>
      <w:r>
        <w:rPr>
          <w:b/>
        </w:rPr>
        <w:t xml:space="preserve">Name and retain; several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jc w:val="both"/>
        <w:spacing w:before="100" w:after="100"/>
        <w:ind w:start="1080" w:hanging="720"/>
      </w:pPr>
      <w:r>
        <w:rPr>
          <w:b/>
        </w:rPr>
        <w:t>§</w:t>
        <w:t>1413</w:t>
        <w:t xml:space="preserve">.  </w:t>
      </w:r>
      <w:r>
        <w:rPr>
          <w:b/>
        </w:rPr>
        <w:t xml:space="preserve">Notice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jc w:val="both"/>
        <w:spacing w:before="100" w:after="100"/>
        <w:ind w:start="1080" w:hanging="720"/>
      </w:pPr>
      <w:r>
        <w:rPr>
          <w:b/>
        </w:rPr>
        <w:t>§</w:t>
        <w:t>1414</w:t>
        <w:t xml:space="preserve">.  </w:t>
      </w:r>
      <w:r>
        <w:rPr>
          <w:b/>
        </w:rPr>
        <w:t xml:space="preserve">Statute of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jc w:val="both"/>
        <w:spacing w:before="100" w:after="100"/>
        <w:ind w:start="1080" w:hanging="720"/>
      </w:pPr>
      <w:r>
        <w:rPr>
          <w:b/>
        </w:rPr>
        <w:t>§</w:t>
        <w:t>1415</w:t>
        <w:t xml:space="preserve">.  </w:t>
      </w:r>
      <w:r>
        <w:rPr>
          <w:b/>
        </w:rPr>
        <w:t xml:space="preserve">Evidence of responsible serving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jc w:val="both"/>
        <w:spacing w:before="100" w:after="100"/>
        <w:ind w:start="1080" w:hanging="720"/>
      </w:pPr>
      <w:r>
        <w:rPr>
          <w:b/>
        </w:rPr>
        <w:t>§</w:t>
        <w:t>1416</w:t>
        <w:t xml:space="preserve">.  </w:t>
      </w:r>
      <w:r>
        <w:rPr>
          <w:b/>
        </w:rPr>
        <w:t xml:space="preserve">Privileges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jc w:val="both"/>
        <w:spacing w:before="100" w:after="100"/>
        <w:ind w:start="1080" w:hanging="720"/>
      </w:pPr>
      <w:r>
        <w:rPr>
          <w:b/>
        </w:rPr>
        <w:t>§</w:t>
        <w:t>1417</w:t>
        <w:t xml:space="preserve">.  </w:t>
      </w:r>
      <w:r>
        <w:rPr>
          <w:b/>
        </w:rPr>
        <w:t xml:space="preserve">Insurance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jc w:val="both"/>
        <w:spacing w:before="100" w:after="100"/>
        <w:ind w:start="1080" w:hanging="720"/>
      </w:pPr>
      <w:r>
        <w:rPr>
          <w:b/>
        </w:rPr>
        <w:t>§</w:t>
        <w:t>1418</w:t>
        <w:t xml:space="preserve">.  </w:t>
      </w:r>
      <w:r>
        <w:rPr>
          <w:b/>
        </w:rPr>
        <w:t xml:space="preserve">Informal 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jc w:val="both"/>
        <w:spacing w:before="100" w:after="100"/>
        <w:ind w:start="1080" w:hanging="720"/>
      </w:pPr>
      <w:r>
        <w:rPr>
          <w:b/>
        </w:rPr>
        <w:t>§</w:t>
        <w:t>1419</w:t>
        <w:t xml:space="preserve">.  </w:t>
      </w:r>
      <w:r>
        <w:rPr>
          <w:b/>
        </w:rPr>
        <w:t xml:space="preserve">Approval of alcohol server education courses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33. MAINE LIQUOR LIABILITY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33. MAINE LIQUOR LIABILITY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Chapter 33. MAINE LIQUOR LIABILITY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