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Declaration of policy</w:t>
      </w:r>
    </w:p>
    <w:p>
      <w:pPr>
        <w:jc w:val="both"/>
        <w:spacing w:before="100" w:after="100"/>
        <w:ind w:start="360"/>
        <w:ind w:firstLine="360"/>
      </w:pPr>
      <w:r>
        <w:rPr/>
      </w:r>
      <w:r>
        <w:rPr/>
      </w:r>
      <w:r>
        <w:t xml:space="preserve">The Legislature declares it is the policy of the State that in order to preserve the architectural, historic and environmental heritage of the people of the State, and to develop and promote the cultural, educational and economic benefits of these resources, the Maine Historic Preservation Commission, as established by </w:t>
      </w:r>
      <w:r>
        <w:t>Title 5, section 12004‑G, subsection 7‑D</w:t>
      </w:r>
      <w:r>
        <w:t xml:space="preserve">, shall work to implement this policy.</w:t>
      </w:r>
      <w:r>
        <w:t xml:space="preserve">  </w:t>
      </w:r>
      <w:r xmlns:wp="http://schemas.openxmlformats.org/drawingml/2010/wordprocessingDrawing" xmlns:w15="http://schemas.microsoft.com/office/word/2012/wordml">
        <w:rPr>
          <w:rFonts w:ascii="Arial" w:hAnsi="Arial" w:cs="Arial"/>
          <w:sz w:val="22"/>
          <w:szCs w:val="22"/>
        </w:rPr>
        <w:t xml:space="preserve">[PL 1989, c. 700, Pt. B,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1983, c. 812, §171 (AMD). PL 1989, c. 503, §B116 (AMD). PL 1989, c. 700, §B37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§501.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