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permitted under this section poses an immediate threat to the public because of gross negligence in the performance of duties associated with the permit, the commissioner shall immediately suspend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The suspension remains in effect for 30 days unless a revocation procedure under </w:t>
      </w:r>
      <w:r>
        <w:t>section 2474</w:t>
      </w:r>
      <w:r>
        <w:t xml:space="preserve"> is commenced within 30 days, in which case the suspension continues until the revocation proceeding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§2475. Suspension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§2475. Suspension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§2475. SUSPENSION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