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4249</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§37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or group policies or contracts issued by any health maintenance organization operating pursuant to this chapter must make available to an individual or group policyholder the option for additional benefits for the domestic partner of an enrollee or member, at appropriate rates and under the same terms and conditions as those benefits or options for benefits are provided to spouses of married enrollees or members covered under a health maintenance organization individual or group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enrollee or member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 health maintenance organization or group policyholder may require an enrollee or member and the enrollee's or member's domestic partner to sign an affidavit attesting that the enrollee or member and enrollee's or member's domestic partner meet the definition of domestic partner under </w:t>
      </w:r>
      <w:r>
        <w:t>Title 1, section 72, subsection 2‑C</w:t>
      </w:r>
      <w:r>
        <w:t xml:space="preserve"> and to show documentation of joint ownership or occupancy of real property, such as a joint deed, joint mortgage or a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§38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an enrollee or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 health maintenance organization may terminate coverage in accordance with other applicable provisions of this Title for the domestic partner of an enrollee or member upon notification by the enrollee or member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§39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 health maintenance organization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w:t>
      </w:r>
    </w:p>
    <w:p>
      <w:pPr>
        <w:jc w:val="both"/>
        <w:spacing w:before="100" w:after="100"/>
        <w:ind w:start="360"/>
      </w:pPr>
      <w:r>
        <w:rPr>
          <w:b w:val="true"/>
          <w:i/>
          <w:caps w:val="true"/>
        </w:rPr>
        <w:t xml:space="preserve">Revisor's Note: </w:t>
      </w:r>
      <w:r>
        <w:t>§4249.  Coverage for general anesthesia for dentistry (As enacted by PL 2001, c. 423, §4 and affected by §5 is REALLOCATED TO TITLE 24-A, SECTION 4251)
</w:t>
      </w:r>
    </w:p>
    <w:p>
      <w:pPr>
        <w:jc w:val="both"/>
        <w:spacing w:before="100" w:after="100"/>
        <w:ind w:start="360"/>
      </w:pPr>
      <w:r>
        <w:rPr>
          <w:b w:val="true"/>
          <w:i/>
          <w:caps w:val="true"/>
        </w:rPr>
        <w:t xml:space="preserve">Revisor's Note: </w:t>
      </w:r>
      <w:r>
        <w:t>§4249.  Coverage for hospice care services (As enacted by PL 2001, c. 358, Pt. LL, §4 and affected by §5 is REALLOCATED TO TITLE 24-A, SECTION 4250)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§4 (NEW). PL 2001, c. 347, §5 (AFF). PL 2001, c. 358, §LL4 (NEW). PL 2001, c. 358, §LL5 (AFF). PL 2001, c. 423, §4 (NEW). PL 2001, c. 423, §5 (AFF). RR 2001, c. 1, §§36,37 (RAL). PL 2021, c. 567, §§37-39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§4249. Mandated offer of domestic partner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§4249. Mandated offer of domestic partner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§4249. MANDATED OFFER OF DOMESTIC PARTNER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