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2158</w:t>
        <w:t xml:space="preserve">.  </w:t>
      </w:r>
      <w:r>
        <w:rPr>
          <w:b/>
        </w:rPr>
        <w:t xml:space="preserve">Boycott, coercion and intimidation</w:t>
      </w:r>
    </w:p>
    <w:p>
      <w:pPr>
        <w:jc w:val="both"/>
        <w:spacing w:before="100" w:after="100"/>
        <w:ind w:start="360"/>
        <w:ind w:firstLine="360"/>
      </w:pPr>
      <w:r>
        <w:rPr/>
      </w:r>
      <w:r>
        <w:rPr/>
      </w:r>
      <w:r>
        <w:t xml:space="preserve">No person shall:</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Enter into any agreement to commit, or by any concerted action commit, any act of boycott, coercion or intimidation resulting in or tending to result in unreasonable restraint of or monopoly in the business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Enter into any agreement to commit any act of boycott, coercion or intimidation, or in pursuance thereof monopolize or attempt to monopolize any part of the business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§2158. Boycott, coercion and intimidation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§2158. Boycott, coercion and intimidation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§2158. BOYCOTT, COERCION AND INTIMIDATION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