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1983</w:t>
        <w:t xml:space="preserve">.  </w:t>
      </w:r>
      <w:r>
        <w:rPr>
          <w:b/>
        </w:rPr>
        <w:t xml:space="preserve">Interest rate agreements</w:t>
      </w:r>
    </w:p>
    <w:p>
      <w:pPr>
        <w:jc w:val="both"/>
        <w:spacing w:before="100" w:after="100"/>
        <w:ind w:start="360"/>
        <w:ind w:firstLine="360"/>
      </w:pPr>
      <w:r>
        <w:rPr/>
      </w:r>
      <w:r>
        <w:rPr/>
      </w:r>
      <w:r>
        <w:t xml:space="preserve">The authority is authorized to enter from time to time into agreements with another party, on terms and conditions that the authority determines are necessary or convenient, in which the authority agrees to make a payment to, or to receive a payment from, the other party based on a comparison at a future date between an interest rate specified on the date of the agreement and a rate derived on or about that future date from an interest rate index.  The authority is authorized to enter into any credit enhancement or liquidity agreement on terms and conditions that the authority determines are necessary or convenient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2003, c. 111,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§1983. Interest rate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§1983. Interest rate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§1983. INTEREST RATE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