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§§26, 27 (AMD). PL 2009, c. 631, §51 (AFF). PL 2011, c. 407, Pt. B, §§21, 22 (AMD). PL 2013, c. 394, §1 (AMD). PL 2017, c. 409, Pt. E, §§5, 6 (AMD). PL 2017, c. 452, §10 (AMD). PL 2019, c. 217, §4 (AMD). PL 2021, c. 387, §§6, 7 (AMD). PL 2021, c. 652, §2 (AMD). PL 2021, c. 669, §5 (REV). PL 2023, c. 365,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