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w:t>
        <w:t xml:space="preserve">.  </w:t>
      </w:r>
      <w:r>
        <w:rPr>
          <w:b/>
        </w:rPr>
        <w:t xml:space="preserve">General qualifications</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A person who meets the following requirements may vote in any election in a municipality, including a biennial municipal caucus held pursuant to </w:t>
      </w:r>
      <w:r>
        <w:t>section 311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387, §1 (AMD).]</w:t>
      </w:r>
    </w:p>
    <w:p>
      <w:pPr>
        <w:jc w:val="both"/>
        <w:spacing w:before="100" w:after="0"/>
        <w:ind w:start="360"/>
        <w:ind w:firstLine="360"/>
      </w:pPr>
      <w:r>
        <w:rPr>
          <w:b/>
        </w:rPr>
        <w:t>1</w:t>
        <w:t xml:space="preserve">.  </w:t>
      </w:r>
      <w:r>
        <w:rPr>
          <w:b/>
        </w:rPr>
        <w:t xml:space="preserve">Citizenship.</w:t>
        <w:t xml:space="preserve"> </w:t>
      </w:r>
      <w:r>
        <w:t xml:space="preserve"> </w:t>
      </w:r>
      <w:r>
        <w:t xml:space="preserve">The person must be a citizen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2</w:t>
        <w:t xml:space="preserve">.  </w:t>
      </w:r>
      <w:r>
        <w:rPr>
          <w:b/>
        </w:rPr>
        <w:t xml:space="preserve">Age.</w:t>
        <w:t xml:space="preserve"> </w:t>
      </w:r>
      <w:r>
        <w:t xml:space="preserve"> </w:t>
      </w:r>
      <w:r>
        <w:t xml:space="preserve">The person must be at least 18 years of age, except that, to vote in a political party's primary election or municipal caucus, the person must be at least 18 years of age as of the date of the next general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3</w:t>
        <w:t xml:space="preserve">.  </w:t>
      </w:r>
      <w:r>
        <w:rPr>
          <w:b/>
        </w:rPr>
        <w:t xml:space="preserve">Residence.</w:t>
        <w:t xml:space="preserve"> </w:t>
      </w:r>
      <w:r>
        <w:t xml:space="preserve"> </w:t>
      </w:r>
      <w:r>
        <w:t xml:space="preserve">The person must have established and maintain a voting residence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4</w:t>
        <w:t xml:space="preserve">.  </w:t>
      </w:r>
      <w:r>
        <w:rPr>
          <w:b/>
        </w:rPr>
        <w:t xml:space="preserve">Registration.</w:t>
        <w:t xml:space="preserve"> </w:t>
      </w:r>
      <w:r>
        <w:t xml:space="preserve"> </w:t>
      </w:r>
      <w:r>
        <w:t xml:space="preserve">The person must be registered to vote in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5</w:t>
        <w:t xml:space="preserve">.  </w:t>
      </w:r>
      <w:r>
        <w:rPr>
          <w:b/>
        </w:rPr>
        <w:t>(TEXT EFFECTIVE UNTIL 1/01/24)</w:t>
        <w:t xml:space="preserve"> </w:t>
      </w:r>
      <w:r>
        <w:rPr>
          <w:b/>
        </w:rPr>
        <w:t xml:space="preserve">Enrollment.</w:t>
        <w:t xml:space="preserve"> </w:t>
      </w:r>
      <w:r>
        <w:t xml:space="preserve"> </w:t>
      </w:r>
      <w:r>
        <w:t xml:space="preserve">The person must be enrolled in a party in that municipality to vote at that party's caucus, convention or primary election, unless otherwise permitted by the party pursuant to </w:t>
      </w:r>
      <w:r>
        <w:t>section 340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387, §1 (AMD).]</w:t>
      </w:r>
    </w:p>
    <w:p>
      <w:pPr>
        <w:jc w:val="both"/>
        <w:spacing w:before="100" w:after="0"/>
        <w:ind w:start="360"/>
        <w:ind w:firstLine="360"/>
      </w:pPr>
      <w:r>
        <w:rPr>
          <w:b/>
        </w:rPr>
        <w:t>5</w:t>
        <w:t xml:space="preserve">.  </w:t>
      </w:r>
      <w:r>
        <w:rPr>
          <w:b/>
        </w:rPr>
        <w:t>(TEXT EFFECTIVE 1/01/24)</w:t>
        <w:t xml:space="preserve"> </w:t>
      </w:r>
      <w:r>
        <w:rPr>
          <w:b/>
        </w:rPr>
        <w:t xml:space="preserve">Enrollment.</w:t>
        <w:t xml:space="preserve"> </w:t>
      </w:r>
      <w:r>
        <w:t xml:space="preserve"> </w:t>
      </w:r>
      <w:r>
        <w:t xml:space="preserve">The person must be enrolled in a party in that municipality to vote at that party's caucus or convention.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750, §1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188, §1 (AMD). PL 1987, c. 423, §2 (AMD). PL 2005, c. 387, §1 (AMD). PL 2021, c. 750, §1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§111. General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 General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§111. GENERAL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