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UNIFORM CHILD CUSTODY JURISDICTION ACT</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1702</w:t>
        <w:t xml:space="preserve">.  </w:t>
      </w:r>
      <w:r>
        <w:rPr>
          <w:b/>
        </w:rPr>
        <w:t xml:space="preserve">Purposes of chapter;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 UNIFORM CHILD CUSTODY JURISDICTION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UNIFORM CHILD CUSTODY JURISDICTION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57. UNIFORM CHILD CUSTODY JURISDICTION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