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6-416</w:t>
        <w:t xml:space="preserve">.  </w:t>
      </w:r>
      <w:r>
        <w:rPr>
          <w:b/>
        </w:rPr>
        <w:t xml:space="preserve">Liability for creditor claims and statutory allowances</w:t>
      </w:r>
    </w:p>
    <w:p>
      <w:pPr>
        <w:jc w:val="both"/>
        <w:spacing w:before="100" w:after="100"/>
        <w:ind w:start="360"/>
        <w:ind w:firstLine="360"/>
      </w:pPr>
      <w:r>
        <w:rPr/>
      </w:r>
      <w:r>
        <w:rPr/>
      </w:r>
      <w:r>
        <w:t xml:space="preserve">A beneficiary of a transfer on death deed is liable for an allowed claim against the transferor's probate estate and statutory allowances to a surviving spouse and children to the extent provided in </w:t>
      </w:r>
      <w:r>
        <w:t>section 6‑102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§6-416. Liability for creditor claims and statutory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§6-416. Liability for creditor claims and statutory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§6-416. LIABILITY FOR CREDITOR CLAIMS AND STATUTORY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