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2003, c. 689, §B6 (REV). PL 2015, c. 296, Pt. C, §5 (AMD). PL 2015, c. 296, Pt. D, §1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