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Policy</w:t>
      </w:r>
    </w:p>
    <w:p>
      <w:pPr>
        <w:jc w:val="both"/>
        <w:spacing w:before="100" w:after="100"/>
        <w:ind w:start="360"/>
        <w:ind w:firstLine="360"/>
      </w:pPr>
      <w:r>
        <w:rPr/>
      </w:r>
      <w:r>
        <w:rPr/>
      </w:r>
      <w:r>
        <w:t xml:space="preserve">It is the policy of this State to encourage and enable persons who are blind, visually impaired or otherwise disabled to participate fully in the social and economic life of the State and to engage in remunerative employment.</w:t>
      </w:r>
      <w:r>
        <w:t xml:space="preserve">  </w:t>
      </w:r>
      <w:r xmlns:wp="http://schemas.openxmlformats.org/drawingml/2010/wordprocessingDrawing" xmlns:w15="http://schemas.microsoft.com/office/word/2012/wordml">
        <w:rPr>
          <w:rFonts w:ascii="Arial" w:hAnsi="Arial" w:cs="Arial"/>
          <w:sz w:val="22"/>
          <w:szCs w:val="22"/>
        </w:rPr>
        <w:t xml:space="preserve">[PL 2021, c. 348,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2021, c. 348,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§1311.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