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Two years</w:t>
      </w:r>
    </w:p>
    <w:p>
      <w:pPr>
        <w:jc w:val="both"/>
        <w:spacing w:before="100" w:after="100"/>
        <w:ind w:start="360"/>
        <w:ind w:firstLine="360"/>
      </w:pPr>
      <w:r>
        <w:rPr/>
      </w:r>
      <w:r>
        <w:rPr/>
      </w:r>
      <w:r>
        <w:t xml:space="preserve">Actions for slander and libel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2021,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 (AMD). PL 2021, c. 207,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Two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Two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§753. TWO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