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Tender to guardian of mortgagee; discharge</w:t>
      </w:r>
    </w:p>
    <w:p>
      <w:pPr>
        <w:jc w:val="both"/>
        <w:spacing w:before="100" w:after="100"/>
        <w:ind w:start="360"/>
        <w:ind w:firstLine="360"/>
      </w:pPr>
      <w:r>
        <w:rPr/>
      </w:r>
      <w:r>
        <w:rPr/>
      </w:r>
      <w:r>
        <w:t xml:space="preserve">When the mortgagee or person holding under him is under guardianship, a tender may be made to the guardian and he shall receive the sum due on the mortgage; and upon receiving it, or on performance of such other condition as the case requires, he shall execute a discharge of the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§6110. Tender to guardian of mortgagee;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Tender to guardian of mortgagee;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§6110. TENDER TO GUARDIAN OF MORTGAGEE;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