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2958</w:t>
        <w:t xml:space="preserve">.  </w:t>
      </w:r>
      <w:r>
        <w:rPr>
          <w:b/>
        </w:rPr>
        <w:t xml:space="preserve">Demand where trustee out of State or lacks dwelling in State</w:t>
      </w:r>
    </w:p>
    <w:p>
      <w:pPr>
        <w:jc w:val="both"/>
        <w:spacing w:before="100" w:after="100"/>
        <w:ind w:start="360"/>
        <w:ind w:firstLine="360"/>
      </w:pPr>
      <w:r>
        <w:rPr/>
      </w:r>
      <w:r>
        <w:rPr/>
      </w:r>
      <w:r>
        <w:t xml:space="preserve">When the officer holding an execution cannot find the trustee in the State, a copy of the execution may be left at his dwelling house or last and usual place of abode, with notice to the trustee indorsed thereon and signed by the officer, signifying that he is required to pay and deliver, towards satisfying such execution, the goods, effects and credits for which he is liable. When such trustee has no dwelling house or place of abode in the State, such copy and notice may be left at his dwelling house or place of abode without the State or be delivered to him personally by the officer or other person by his direction. Such notice in either case is a sufficient demand for the purposes mentioned in </w:t>
      </w:r>
      <w:r>
        <w:t>sections 2956</w:t>
      </w:r>
      <w:r>
        <w:t xml:space="preserve"> and </w:t>
      </w:r>
      <w:r>
        <w:t>2957</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§2958. Demand where trustee out of State or lacks dwelling in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§2958. Demand where trustee out of State or lacks dwelling in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§2958. DEMAND WHERE TRUSTEE OUT OF STATE OR LACKS DWELLING IN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