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981</w:t>
        <w:t xml:space="preserve">.  </w:t>
      </w:r>
      <w:r>
        <w:rPr>
          <w:b/>
        </w:rPr>
        <w:t xml:space="preserve">Charitable corporations, suits by or against</w:t>
      </w:r>
    </w:p>
    <w:p>
      <w:pPr>
        <w:jc w:val="both"/>
        <w:spacing w:before="100" w:after="100"/>
        <w:ind w:start="360"/>
        <w:ind w:firstLine="360"/>
      </w:pPr>
      <w:r>
        <w:rPr/>
      </w:r>
      <w:r>
        <w:rPr/>
      </w:r>
      <w:r>
        <w:t xml:space="preserve">No corporation, organized for charitable or benevolent purposes, shall sue any of its members for dues or contributions of any kind, or be sued by any member for any benefit or sum due him, but all such rights and benefits, dues and liabilities shall be regulated and enforced only in accordance with its bylaws.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§981. Charitable corporations, suits by or against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§981. Charitable corporations, suits by or against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§981. CHARITABLE CORPORATIONS, SUITS BY OR AGAINST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