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Revival of nonprofit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nonprofit corporation has dissolved in any manner under this chapter and that the nonprofit corporation should be revived for any specified purpose or purposes for a specific period of time, the Secretary of State may upon application by an interested party file a certificate of revival in a form or format prescribed by the Secretary of State for reviving the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nonprofit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B</w:t>
        <w:t xml:space="preserve">.  </w:t>
      </w:r>
      <w:r>
        <w:rPr/>
      </w:r>
      <w:r>
        <w:t xml:space="preserve">The name of the nonprofit corporation's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nonprofit corporation to the address provided in </w:t>
      </w:r>
      <w:r>
        <w:t>subsection 2, paragraph C</w:t>
      </w:r>
      <w:r>
        <w:t xml:space="preserve"> stating that the revival has been granted for the purpose or purposes and for the time period specified pursuant to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nonprofit corporation at the address provided in </w:t>
      </w:r>
      <w:r>
        <w:t>subsection 2, paragraph C</w:t>
      </w:r>
      <w:r>
        <w:t xml:space="preserve"> that the status of the nonprofit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Revival of nonprofit corporation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Revival of nonprofit corporation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§1117. REVIVAL OF NONPROFIT CORPORATION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