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Effect of statement of intent to dissolv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Effect of statement of intent to dissolv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Effect of statement of intent to dissolv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5. EFFECT OF STATEMENT OF INTENT TO DISSOLV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