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6810</w:t>
        <w:t xml:space="preserve">.  </w:t>
      </w:r>
      <w:r>
        <w:rPr>
          <w:b/>
        </w:rPr>
        <w:t xml:space="preserve">Method of fishing</w:t>
      </w:r>
    </w:p>
    <w:p>
      <w:pPr>
        <w:jc w:val="both"/>
        <w:spacing w:before="100" w:after="0"/>
        <w:ind w:start="360"/>
        <w:ind w:firstLine="360"/>
      </w:pPr>
      <w:r>
        <w:rPr>
          <w:b/>
        </w:rPr>
        <w:t>1</w:t>
        <w:t xml:space="preserve">.  </w:t>
      </w:r>
      <w:r>
        <w:rPr>
          <w:b/>
        </w:rPr>
        <w:t xml:space="preserve">Authorized traps.</w:t>
        <w:t xml:space="preserve"> </w:t>
      </w:r>
      <w:r>
        <w:t xml:space="preserve"> </w:t>
      </w:r>
      <w:r>
        <w:t xml:space="preserve">It is unlawful to fish for green crabs under a license issued pursuant to </w:t>
      </w:r>
      <w:r>
        <w:t>section 6808</w:t>
      </w:r>
      <w:r>
        <w:t xml:space="preserve"> with traps not authorized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§9 (AMD).]</w:t>
      </w:r>
    </w:p>
    <w:p>
      <w:pPr>
        <w:jc w:val="both"/>
        <w:spacing w:before="100" w:after="0"/>
        <w:ind w:start="360"/>
        <w:ind w:firstLine="360"/>
      </w:pPr>
      <w:r>
        <w:rPr>
          <w:b/>
        </w:rPr>
        <w:t>2</w:t>
        <w:t xml:space="preserve">.  </w:t>
      </w:r>
      <w:r>
        <w:rPr>
          <w:b/>
        </w:rPr>
        <w:t xml:space="preserve">Trap design; rules.</w:t>
        <w:t xml:space="preserve"> </w:t>
      </w:r>
      <w:r>
        <w:t xml:space="preserve"> </w:t>
      </w:r>
      <w:r>
        <w:t xml:space="preserve">The commissioner shall establish authorized green crab trap designs by rule.  Rules adopted by the commissioner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 PL 2013, c. 588, Pt. A,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§6810. Method of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§6810. Method of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§6810. METHOD OF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