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§1895. Powers of the bureau relating to public facilities for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§1895. Powers of the bureau relating to public facilities for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§1895. POWERS OF THE BUREAU RELATING TO PUBLIC FACILITIES FOR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