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10755</w:t>
        <w:t xml:space="preserve">.  </w:t>
      </w:r>
      <w:r>
        <w:rPr>
          <w:b/>
        </w:rPr>
        <w:t xml:space="preserve">Intentional issuance of resident license or permit to nonresident</w:t>
      </w:r>
    </w:p>
    <w:p>
      <w:pPr>
        <w:jc w:val="both"/>
        <w:spacing w:before="100" w:after="100"/>
        <w:ind w:start="360"/>
        <w:ind w:firstLine="360"/>
      </w:pPr>
      <w:r>
        <w:rPr/>
      </w:r>
      <w:r>
        <w:rPr/>
      </w:r>
      <w:r>
        <w:t xml:space="preserve">A town clerk or agent may not intentionally issue a resident license or permit to a person who is not a resident.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§10755. Intentional issuance of resident license or permit to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§10755. Intentional issuance of resident license or permit to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§10755. INTENTIONAL ISSUANCE OF RESIDENT LICENSE OR PERMIT TO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