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3-1310</w:t>
        <w:t xml:space="preserve">.  </w:t>
      </w:r>
      <w:r>
        <w:rPr>
          <w:b/>
        </w:rPr>
        <w:t xml:space="preserve">Effect of instrument on obligation for which taken</w:t>
      </w:r>
    </w:p>
    <w:p>
      <w:pPr>
        <w:jc w:val="both"/>
        <w:spacing w:before="100" w:after="0"/>
        <w:ind w:start="360"/>
        <w:ind w:firstLine="360"/>
      </w:pPr>
      <w:r>
        <w:rPr>
          <w:b/>
        </w:rPr>
        <w:t>(1)</w:t>
        <w:t xml:space="preserve">.  </w:t>
      </w:r>
      <w:r>
        <w:rPr>
          <w:b/>
        </w:rPr>
      </w:r>
      <w:r>
        <w:t xml:space="preserve"> </w:t>
      </w:r>
      <w:r>
        <w:t xml:space="preserve">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Unless otherwise agreed and except as provided in </w:t>
      </w:r>
      <w:r>
        <w:t>subsection (1)</w:t>
      </w:r>
      <w:r>
        <w:t xml:space="preserve">, if a note or an uncertified check is taken for an obligation, the obligation is suspended to the same extent the obligation would be discharged if an amount of money equal to the amount of the instrument were taken and the following rules apply.</w:t>
      </w:r>
    </w:p>
    <w:p>
      <w:pPr>
        <w:jc w:val="both"/>
        <w:spacing w:before="100" w:after="0"/>
        <w:ind w:start="720"/>
      </w:pPr>
      <w:r>
        <w:rPr/>
        <w:t>(a)</w:t>
        <w:t xml:space="preserve">.  </w:t>
      </w:r>
      <w:r>
        <w:rPr/>
      </w:r>
      <w:r>
        <w:t xml:space="preserve">In the case of an uncertified check, suspension of the obligation continues until dishonor of the check or until it is paid or certified.  Payment or certification of the check results in discharge of the obligation to the extent of the amount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 note, suspension of the obligation continues until dishonor of the note or until it is paid.  Payment of the note results in discharge of the obligation to the extent of the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Except as provided in </w:t>
      </w:r>
      <w:r>
        <w:t>paragraph (d)</w:t>
      </w:r>
      <w:r>
        <w:t xml:space="preserve">, if the check or note is dishonored and the obligee of the obligation for which the instrument was taken is the person entitled to enforce the instrument, the obligee may enforce either the instrument or the obligation.  In the case of an instrument of a 3rd person that is negotiated to the obligee by the obligor, discharge of the obligor on the instrument also discharges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other than one described in </w:t>
      </w:r>
      <w:r>
        <w:t>subsection (1)</w:t>
      </w:r>
      <w:r>
        <w:t xml:space="preserve"> or </w:t>
      </w:r>
      <w:r>
        <w:t>(2)</w:t>
      </w:r>
      <w:r>
        <w:t xml:space="preserve"> is taken for an obligation, the effect is:</w:t>
      </w:r>
    </w:p>
    <w:p>
      <w:pPr>
        <w:jc w:val="both"/>
        <w:spacing w:before="100" w:after="0"/>
        <w:ind w:start="720"/>
      </w:pPr>
      <w:r>
        <w:rPr/>
        <w:t>(a)</w:t>
        <w:t xml:space="preserve">.  </w:t>
      </w:r>
      <w:r>
        <w:rPr/>
      </w:r>
      <w:r>
        <w:t xml:space="preserve">That effect stated in </w:t>
      </w:r>
      <w:r>
        <w:t>subsection (1)</w:t>
      </w:r>
      <w:r>
        <w:t xml:space="preserve"> if the instrument is one on which a bank is liable as maker or acceptor;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effect stated in </w:t>
      </w:r>
      <w:r>
        <w:t>subsection (2)</w:t>
      </w:r>
      <w:r>
        <w:t xml:space="preserve"> in any other case.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§3-1310. Effect of instrument on obligation for which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§3-1310. Effect of instrument on obligation for which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§3-1310. EFFECT OF INSTRUMENT ON OBLIGATION FOR WHICH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