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9097-B</w:t>
        <w:t xml:space="preserve">.  </w:t>
      </w:r>
      <w:r>
        <w:rPr>
          <w:b/>
        </w:rPr>
        <w:t xml:space="preserve">Entry and detainer</w:t>
      </w:r>
    </w:p>
    <w:p>
      <w:pPr>
        <w:jc w:val="both"/>
        <w:spacing w:before="100" w:after="100"/>
        <w:ind w:start="360"/>
        <w:ind w:firstLine="360"/>
      </w:pPr>
      <w:r>
        <w:rPr/>
      </w:r>
      <w:r>
        <w:rPr/>
      </w:r>
      <w:r>
        <w:t xml:space="preserve">Process of forcible entry and detainer pursuant to </w:t>
      </w:r>
      <w:r>
        <w:t>Title 14, chapter 709</w:t>
      </w:r>
      <w:r>
        <w:t xml:space="preserve"> must be used in mobile home evictions.  This process includes mediation under </w:t>
      </w:r>
      <w:r>
        <w:t>Title 14, chapter 709,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246, §1 (AMD);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 §1 (NEW). PL 2007, c. 246, §1 (AMD). PL 2007, c. 246,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§9097-B. Entry and detainer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§9097-B. Entry and detainer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§9097-B. ENTRY AND DETAINER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