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1682</w:t>
        <w:t xml:space="preserve">.  </w:t>
      </w:r>
      <w:r>
        <w:rPr>
          <w:b/>
        </w:rPr>
        <w:t xml:space="preserve">Rulemaking</w:t>
      </w:r>
    </w:p>
    <w:p>
      <w:pPr>
        <w:jc w:val="both"/>
        <w:spacing w:before="100" w:after="100"/>
        <w:ind w:start="360"/>
        <w:ind w:firstLine="360"/>
      </w:pPr>
      <w:r>
        <w:rPr/>
      </w:r>
      <w:r>
        <w:rPr/>
      </w:r>
      <w:r>
        <w:t xml:space="preserve">The Attorney General may adopt rules necessary to implement this chapter.</w:t>
      </w:r>
      <w:r>
        <w:t xml:space="preserve">  </w:t>
      </w:r>
      <w:r xmlns:wp="http://schemas.openxmlformats.org/drawingml/2010/wordprocessingDrawing" xmlns:w15="http://schemas.microsoft.com/office/word/2012/wordml">
        <w:rPr>
          <w:rFonts w:ascii="Arial" w:hAnsi="Arial" w:cs="Arial"/>
          <w:sz w:val="22"/>
          <w:szCs w:val="22"/>
        </w:rPr>
        <w:t xml:space="preserve">[PL 1991, c. 836,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§1682.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§1682.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§1682.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