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Applicability of chapter</w:t>
      </w:r>
    </w:p>
    <w:p>
      <w:pPr>
        <w:jc w:val="both"/>
        <w:spacing w:before="100" w:after="100"/>
        <w:ind w:start="360"/>
        <w:ind w:firstLine="360"/>
      </w:pPr>
      <w:r>
        <w:rPr/>
      </w:r>
      <w:r>
        <w:rPr/>
      </w:r>
      <w:r>
        <w:t xml:space="preserve">The sections of this chapter govern loans made by financial institutions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