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Violations</w:t>
      </w:r>
    </w:p>
    <w:p>
      <w:pPr>
        <w:jc w:val="both"/>
        <w:spacing w:before="100" w:after="100"/>
        <w:ind w:start="360"/>
        <w:ind w:firstLine="360"/>
      </w:pPr>
      <w:r>
        <w:rPr/>
      </w:r>
      <w:r>
        <w:rPr/>
      </w:r>
      <w:r>
        <w:t xml:space="preserve">Whoever operates a theatrical or motion picture production contrary to </w:t>
      </w:r>
      <w:r>
        <w:t>sections 651</w:t>
      </w:r>
      <w:r>
        <w:t xml:space="preserve"> and </w:t>
      </w:r>
      <w:r>
        <w:t>652</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340,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