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281-A</w:t>
        <w:t xml:space="preserve">.  </w:t>
      </w:r>
      <w:r>
        <w:rPr>
          <w:b/>
        </w:rPr>
        <w:t xml:space="preserve">Standardbred horses eligible for registration</w:t>
      </w:r>
    </w:p>
    <w:p>
      <w:pPr>
        <w:jc w:val="both"/>
        <w:spacing w:before="100" w:after="100"/>
        <w:ind w:start="360"/>
        <w:ind w:firstLine="360"/>
      </w:pPr>
      <w:r>
        <w:rPr/>
      </w:r>
      <w:r>
        <w:rPr/>
      </w:r>
      <w:r>
        <w:t xml:space="preserve">Notwithstanding </w:t>
      </w:r>
      <w:r>
        <w:t>section 281</w:t>
      </w:r>
      <w:r>
        <w:t xml:space="preserve">, a foal resulting from insemination may be registered as a Maine Standardbred if it is the offspring of a stallion registered with the department to stand at stud in the State for the breeding season during which the insemination took place and all other registration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2005, c. 382,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 §1 (NEW). PL 2005, c. 382, §D4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§281-A. Standardbred horses eligible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§281-A. Standardbred horses eligible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§281-A. STANDARDBRED HORSES ELIGIBLE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