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1995, c. 528, §2 (AMD). PL 1999, c. 671, §11 (AMD). PL 2003, c. 452, §C7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