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THEATERS AND SHOWS</w:t>
      </w:r>
    </w:p>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25. THEATERS AND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THEATERS AND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25. THEATERS AND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