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Purchase and sale of animals</w:t>
      </w:r>
    </w:p>
    <w:p>
      <w:pPr>
        <w:jc w:val="both"/>
        <w:spacing w:before="100" w:after="100"/>
        <w:ind w:start="360"/>
        <w:ind w:firstLine="360"/>
      </w:pPr>
      <w:r>
        <w:rPr/>
      </w:r>
      <w:r>
        <w:rPr/>
      </w:r>
      <w:r>
        <w:t xml:space="preserve">Animal shelters, kennels, breeding kennels, boarding kennels and pet shops engaged in buying or selling animals shall keep records of the buyer and seller in each transaction for a 2-year period commencing at the time of purchase or sale.  The records must be open to inspection by the department or law enforcement officers. A person not in possession of a valid license for an animal shelter, kennel, breeding kennel, boarding kennel or grandfathered pet shop shall obtain a vendor's license under </w:t>
      </w:r>
      <w:r>
        <w:t>section 4163</w:t>
      </w:r>
      <w:r>
        <w:t xml:space="preserve"> prior to selling, offering for sale or exchanging for value a cat or dog.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§1 (AMD).]</w:t>
      </w:r>
    </w:p>
    <w:p>
      <w:pPr>
        <w:jc w:val="both"/>
        <w:spacing w:before="100" w:after="100"/>
        <w:ind w:start="360"/>
        <w:ind w:firstLine="360"/>
      </w:pPr>
      <w:r>
        <w:rPr/>
      </w:r>
      <w:r>
        <w:rPr/>
      </w:r>
      <w:r>
        <w:t xml:space="preserve">A wolf hybrid may not be sold or exchanged for value.  Ownership of a wolf hybrid may be transferred only in accordance with </w:t>
      </w:r>
      <w:r>
        <w:t>section 3911‑B</w:t>
      </w:r>
      <w:r>
        <w:t xml:space="preserve"> or </w:t>
      </w:r>
      <w:r>
        <w:t>section 3921‑B,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§24 (AMD). PL 1993, c. 657, §19 (AMD). PL 2007, c. 439, §7 (AMD). PL 2011, c. 100, §7 (AMD). PL 2019, c. 544,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§3914. Purchase and sale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Purchase and sale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§3914. PURCHASE AND SALE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