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 Authority</w:t>
      </w:r>
    </w:p>
    <w:p>
      <w:pPr>
        <w:jc w:val="both"/>
        <w:spacing w:before="100" w:after="100"/>
        <w:ind w:start="360"/>
        <w:ind w:firstLine="360"/>
      </w:pPr>
      <w:r>
        <w:rPr/>
      </w:r>
      <w:r>
        <w:rPr/>
      </w:r>
      <w:r>
        <w:t xml:space="preserve">Pursuant to the home rule authority granted to municipalities by </w:t>
      </w:r>
      <w:r>
        <w:t>Title 30‑A, section 3001</w:t>
      </w:r>
      <w:r>
        <w:t xml:space="preserve"> and by the Constitution of Maine, Article VIII, Part Second, pursuant to the authority granted to plantations by </w:t>
      </w:r>
      <w:r>
        <w:t>Title 30‑A, section 7051</w:t>
      </w:r>
      <w:r>
        <w:t xml:space="preserve">, and notwithstanding any provision of law regulating food in this Title or </w:t>
      </w:r>
      <w:r>
        <w:t>Title 22</w:t>
      </w:r>
      <w:r>
        <w:t xml:space="preserve"> to the contrary, except as contained in </w:t>
      </w:r>
      <w:r>
        <w:t>section 285</w:t>
      </w:r>
      <w:r>
        <w:t xml:space="preserve">, a municipality or plantation may adopt ordinances regarding direct producer-to-consumer transactions and the State shall recognize such ordinances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(AMD).]</w:t>
      </w:r>
    </w:p>
    <w:p>
      <w:pPr>
        <w:jc w:val="both"/>
        <w:spacing w:before="100" w:after="100"/>
        <w:ind w:start="360"/>
        <w:ind w:firstLine="360"/>
      </w:pPr>
      <w:r>
        <w:rPr/>
      </w:r>
      <w:r>
        <w:rPr/>
      </w:r>
      <w:r>
        <w:t xml:space="preserve">Pursuant to the authority granted to county commissioners by </w:t>
      </w:r>
      <w:r>
        <w:t>Title 30‑A, section 7505</w:t>
      </w:r>
      <w:r>
        <w:t xml:space="preserve"> and notwithstanding any provision of law regulating food in this Title or </w:t>
      </w:r>
      <w:r>
        <w:t>Title 22</w:t>
      </w:r>
      <w:r>
        <w:t xml:space="preserve"> to the contrary, except as contained in </w:t>
      </w:r>
      <w:r>
        <w:t>section 285</w:t>
      </w:r>
      <w:r>
        <w:t xml:space="preserve">, a county may adopt ordinances regarding direct producer-to-consumer transactions within one or more unorganized territories within that county and the State shall recognize such an ordinance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§284.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§284.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