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18512</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§33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§10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§10 (NEW);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2003, c. 387,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also shall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4</w:t>
        <w:t xml:space="preserve">.  </w:t>
      </w:r>
      <w:r>
        <w:rPr>
          <w:b/>
        </w:rPr>
        <w:t xml:space="preserve">Monitoring of rehabilitation plan.</w:t>
        <w:t xml:space="preserve"> </w:t>
      </w:r>
      <w:r>
        <w:t xml:space="preserve"> </w:t>
      </w:r>
      <w:r>
        <w:t xml:space="preserve">Each rehabilitation plan approved by the chief executive officer must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5</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6</w:t>
        <w:t xml:space="preserve">.  </w:t>
      </w:r>
      <w:r>
        <w:rPr>
          <w:b/>
        </w:rPr>
        <w:t xml:space="preserve">Employment exception.</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277, §33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§18512.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§18512.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§18512.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