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1236</w:t>
        <w:t xml:space="preserve">.  </w:t>
      </w:r>
      <w:r>
        <w:rPr>
          <w:b/>
        </w:rPr>
        <w:t xml:space="preserve">Legal adviser</w:t>
      </w:r>
    </w:p>
    <w:p>
      <w:pPr>
        <w:jc w:val="both"/>
        <w:spacing w:before="100" w:after="100"/>
        <w:ind w:start="360"/>
        <w:ind w:firstLine="360"/>
      </w:pPr>
      <w:r>
        <w:rPr/>
      </w:r>
      <w:r>
        <w:rPr/>
      </w:r>
      <w:r>
        <w:t xml:space="preserve">The Attorney General or an assistant designated by the Attorney General is the legal adviser of the Board of Trustees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§§B15,B45 (NEW). PL 2007, c. 491,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§1236. Legal adviser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§1236. Legal adviser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§1236. LEGAL ADVISER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