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Administrative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1977, c. 694, §5 (AMD). PL 1979, c. 265, §1 (AMD). PL 1979, c. 544, §8 (AMD). PL 1981, c. 698, §5 (AMD). PL 1983, c. 171, §§1,2 (AMD). PL 1983, c. 853, §§C14,18 (AMD). PL 1985, c. 748, §§1,2 (AMD). PL 1985, c. 771, §1 (AMD). PL 1987, c. 85, §1 (AMD). PL 1987, c. 141, §B1 (AMD). PL 1987, c. 395, §A15 (AMD). PL 1987, c. 402, §A9 (AMD). PL 1987, c. 595, §1 (AMD). PL 1987, c. 769, §A7 (AMD). PL 1989, c. 502, §A9 (AMD). PL 1991, c. 377, §2 (AMD). PL 1991, c. 563, §1 (AMD). PL 1991, c. 824, §B1 (AMD). RR 1993, c. 1, §3 (COR). PL 1995, c. 65, §A6 (AMD). PL 1995, c. 65, §§A153,C15 (AFF). PL 1997, c. 643, §M11 (AMD). PL 1999, c. 547, §A3 (AMD). PL 1999, c. 547, §B12 (RP).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 Administrative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Administrative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§1151. ADMINISTRATIVE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