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Immunity</w:t>
      </w:r>
    </w:p>
    <w:p>
      <w:pPr>
        <w:jc w:val="both"/>
        <w:spacing w:before="100" w:after="100"/>
        <w:ind w:start="360"/>
        <w:ind w:firstLine="360"/>
      </w:pPr>
      <w:r>
        <w:rPr/>
      </w:r>
      <w:r>
        <w:rPr/>
      </w:r>
      <w:r>
        <w:t xml:space="preserve">Neither the State nor any of its agencies or political subdivisions nor a person called out pursuant to </w:t>
      </w:r>
      <w:r>
        <w:t>section 784‑A</w:t>
      </w:r>
      <w:r>
        <w:t xml:space="preserve">, including a voluntary and uncompensated grantor of a permit for the use of the grantor's premises as an emergency management shelter, may, while engaged in any emergency management activities and while complying with or attempting to comply with this chapter or any rule adopted pursuant to this chapter, be liable for the death of or injury to any person, or damage to property, as a result of those activities.  This section does not affect the right of any person to receive benefits to which that person would otherwise be entitled under this chapter, under the Maine Workers' Compensation Act of 1992, under any pension law or under any act of Congress.</w:t>
      </w:r>
      <w:r>
        <w:t xml:space="preserve">  </w:t>
      </w:r>
      <w:r xmlns:wp="http://schemas.openxmlformats.org/drawingml/2010/wordprocessingDrawing" xmlns:w15="http://schemas.microsoft.com/office/word/2012/wordml">
        <w:rPr>
          <w:rFonts w:ascii="Arial" w:hAnsi="Arial" w:cs="Arial"/>
          <w:sz w:val="22"/>
          <w:szCs w:val="22"/>
        </w:rPr>
        <w:t xml:space="preserve">[PL 2003, c. 510, Pt. C,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1993, c. 1, §110 (COR). PL 2001, c. 614, §20 (AMD). PL 2001, c. 662, §88 (AMD). PL 2003, c. 510, §C15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§822.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