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Pipelines for common carrier transportation</w:t>
      </w:r>
    </w:p>
    <w:p>
      <w:pPr>
        <w:jc w:val="both"/>
        <w:spacing w:before="100" w:after="100"/>
        <w:ind w:start="360"/>
        <w:ind w:firstLine="360"/>
      </w:pPr>
      <w:r>
        <w:rPr/>
      </w:r>
      <w:r>
        <w:rPr/>
      </w:r>
      <w:r>
        <w:t xml:space="preserve">Every corporation organized under the general laws of the State and any public utility owning, controlling, operating or managing any pipeline within or through this State for the transportation as a common carrier for hire of oil, gas, gasoline, petroleum or any other liquids or gases may lay its pipelines and construct and maintain them in, along and under the roads and streets in any municipality,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Pipelines for common carrier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Pipelines for common carrier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§2302. PIPELINES FOR COMMON CARRIER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