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11254</w:t>
        <w:t xml:space="preserve">.  </w:t>
      </w:r>
      <w:r>
        <w:rPr>
          <w:b/>
        </w:rPr>
        <w:t xml:space="preserve">Mandatory notification of conditional release or discharge of registrants</w:t>
      </w:r>
    </w:p>
    <w:p>
      <w:pPr>
        <w:jc w:val="both"/>
        <w:spacing w:before="100" w:after="100"/>
        <w:ind w:start="360"/>
        <w:ind w:firstLine="360"/>
      </w:pPr>
      <w:r>
        <w:rPr/>
      </w:r>
      <w:r>
        <w:rPr/>
      </w:r>
      <w:r>
        <w:t xml:space="preserve">The department, county jails, state mental health institutes and the Department of Public Safety, State Bureau of Identification are governed by the following notice provisions when a registrant is conditionally released or discharged.</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a county jail or a state mental health institute shall give the Department of Public Safety, State Bureau of Identification notice of the following:</w:t>
      </w:r>
    </w:p>
    <w:p>
      <w:pPr>
        <w:jc w:val="both"/>
        <w:spacing w:before="100" w:after="0"/>
        <w:ind w:start="720"/>
      </w:pPr>
      <w:r>
        <w:rPr/>
        <w:t>A</w:t>
        <w:t xml:space="preserve">.  </w:t>
      </w:r>
      <w:r>
        <w:rPr/>
      </w:r>
      <w:r>
        <w:t xml:space="preserve">The address where the registrant will be domiciled and reside;</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B</w:t>
        <w:t xml:space="preserve">.  </w:t>
      </w:r>
      <w:r>
        <w:rPr/>
      </w:r>
      <w:r>
        <w:t xml:space="preserve">The address where the registrant will work and attend college or school, if applicable;</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C</w:t>
        <w:t xml:space="preserve">.  </w:t>
      </w:r>
      <w:r>
        <w:rPr/>
      </w:r>
      <w:r>
        <w:t xml:space="preserve">The geographic area to which a registrant's conditional release is limited, if any; and</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D</w:t>
        <w:t xml:space="preserve">.  </w:t>
      </w:r>
      <w:r>
        <w:rPr/>
      </w:r>
      <w:r>
        <w:t xml:space="preserve">The status of the registrant when released as determined by the risk assessment instrument, the registrant's risk assessment score, a copy of the risk assessment instrument and applicable contact standards for the registrant.</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§27 (AMD); PL 2003, c. 711, Pt. D, §2 (AFF).]</w:t>
      </w:r>
    </w:p>
    <w:p>
      <w:pPr>
        <w:jc w:val="both"/>
        <w:spacing w:before="100" w:after="0"/>
        <w:ind w:start="360"/>
        <w:ind w:firstLine="360"/>
      </w:pPr>
      <w:r>
        <w:rPr>
          <w:b/>
        </w:rPr>
        <w:t>2</w:t>
        <w:t xml:space="preserve">.  </w:t>
      </w:r>
      <w:r>
        <w:rPr>
          <w:b/>
        </w:rPr>
        <w:t xml:space="preserve">Duties of the Department of Public Safety, State Bureau of Identification.</w:t>
        <w:t xml:space="preserve"> </w:t>
      </w:r>
      <w:r>
        <w:t xml:space="preserve"> </w:t>
      </w:r>
      <w:r>
        <w:t xml:space="preserve">Upon receipt of the information concerning the conditional release or discharge of a registrant pursuant to </w:t>
      </w:r>
      <w:r>
        <w:t>subsection 1</w:t>
      </w:r>
      <w:r>
        <w:t xml:space="preserve">, the Department of Public Safety, State Bureau of Identification shall forward the information in </w:t>
      </w:r>
      <w:r>
        <w:t>subsection 1</w:t>
      </w:r>
      <w:r>
        <w:t xml:space="preserve"> to all law enforcement agencies that have jurisdiction in those areas where the registrant may be domiciled, reside, work or attend college or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§27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371, §13 (AMD). PL 2003, c. 711, §C27 (AMD). PL 2003, c. 711, §D2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§11254. Mandatory notification of conditional release or discharge of registrants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§11254. Mandatory notification of conditional release or discharge of registrants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§11254. MANDATORY NOTIFICATION OF CONDITIONAL RELEASE OR DISCHARGE OF REGISTRANTS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