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657, §16 (AMD). PL 2003, c. 339, §1 (AMD). PL 2003, c. 673, §U1 (AMD). PL 2005, c. 357, §§1-3 (AMD). PL 2015, c. 215, §1 (AMD). PL 2019, c. 496, §§1-3 (AMD). PL 2019, c. 498, §21 (RP). PL 2023, c. 405, Pt. A, §117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