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§104 (RPR). PL 1995, c. 353, §14 (AMD). PL 1995, c. 397, §39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§2002.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§2002.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