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18123</w:t>
        <w:t xml:space="preserve">.  </w:t>
      </w:r>
      <w:r>
        <w:rPr>
          <w:b/>
        </w:rPr>
        <w:t xml:space="preserve">Powers and duties</w:t>
      </w:r>
    </w:p>
    <w:p>
      <w:pPr>
        <w:jc w:val="both"/>
        <w:spacing w:before="100" w:after="100"/>
        <w:ind w:start="360"/>
        <w:ind w:firstLine="360"/>
      </w:pPr>
      <w:r>
        <w:rPr/>
      </w:r>
      <w:r>
        <w:rPr/>
      </w:r>
      <w:r>
        <w:t xml:space="preserve">The board has the following powers and duties.</w:t>
      </w:r>
      <w:r>
        <w:t xml:space="preserve">  </w:t>
      </w:r>
      <w:r xmlns:wp="http://schemas.openxmlformats.org/drawingml/2010/wordprocessingDrawing" xmlns:w15="http://schemas.microsoft.com/office/word/2012/wordml">
        <w:rPr>
          <w:rFonts w:ascii="Arial" w:hAnsi="Arial" w:cs="Arial"/>
          <w:sz w:val="22"/>
          <w:szCs w:val="22"/>
        </w:rPr>
        <w:t xml:space="preserve">[PL 2009, c. 344, Pt. C, §3 (NEW); PL 2009, c. 344, Pt. E, §2 (AFF).]</w:t>
      </w:r>
    </w:p>
    <w:p>
      <w:pPr>
        <w:jc w:val="both"/>
        <w:spacing w:before="100" w:after="0"/>
        <w:ind w:start="360"/>
        <w:ind w:firstLine="360"/>
      </w:pPr>
      <w:r>
        <w:rPr>
          <w:b/>
        </w:rPr>
        <w:t>1</w:t>
        <w:t xml:space="preserve">.  </w:t>
      </w:r>
      <w:r>
        <w:rPr>
          <w:b/>
        </w:rPr>
        <w:t xml:space="preserve">Board to enforce this chapter.</w:t>
        <w:t xml:space="preserve"> </w:t>
      </w:r>
      <w:r>
        <w:t xml:space="preserve"> </w:t>
      </w:r>
      <w:r>
        <w:t xml:space="preserve">The board shall enforce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w:pPr>
        <w:jc w:val="both"/>
        <w:spacing w:before="100" w:after="100"/>
        <w:ind w:start="360"/>
        <w:ind w:firstLine="360"/>
      </w:pPr>
      <w:r>
        <w:rPr>
          <w:b/>
        </w:rPr>
        <w:t>2</w:t>
        <w:t xml:space="preserve">.  </w:t>
      </w:r>
      <w:r>
        <w:rPr>
          <w:b/>
        </w:rPr>
        <w:t xml:space="preserve">Rules.</w:t>
        <w:t xml:space="preserve"> </w:t>
      </w:r>
      <w:r>
        <w:t xml:space="preserve"> </w:t>
      </w:r>
      <w:r>
        <w:t xml:space="preserve">The board may adopt rules commensurate with the authority vested in it by this chapter, including, but not limited to, rules adopting technical standards for the proper installation and servicing of oil, solid fuel, propane and natural gas burning equipment.  Rules adopted pursuant to this subsection may not prohibit:</w:t>
      </w:r>
    </w:p>
    <w:p>
      <w:pPr>
        <w:jc w:val="both"/>
        <w:spacing w:before="100" w:after="0"/>
        <w:ind w:start="720"/>
      </w:pPr>
      <w:r>
        <w:rPr/>
        <w:t>A</w:t>
        <w:t xml:space="preserve">.  </w:t>
      </w:r>
      <w:r>
        <w:rPr/>
      </w:r>
      <w:r>
        <w:t xml:space="preserve">The continued use of an existing connection of a solid fuel burning appliance to a chimney flue to which another appliance burning oil or solid fuel is connected for any chimney existing and in use prior to February 2, 1998 as long as:</w:t>
      </w:r>
    </w:p>
    <w:p>
      <w:pPr>
        <w:jc w:val="both"/>
        <w:spacing w:before="100" w:after="0"/>
        <w:ind w:start="1080"/>
      </w:pPr>
      <w:r>
        <w:rPr/>
        <w:t>(</w:t>
        <w:t>1</w:t>
        <w:t xml:space="preserve">)  </w:t>
      </w:r>
      <w:r>
        <w:rPr/>
      </w:r>
      <w:r>
        <w:t xml:space="preserve">Sufficient draft is available for each appliance;</w:t>
      </w:r>
    </w:p>
    <w:p>
      <w:pPr>
        <w:jc w:val="both"/>
        <w:spacing w:before="100" w:after="0"/>
        <w:ind w:start="1080"/>
      </w:pPr>
      <w:r>
        <w:rPr/>
        <w:t>(</w:t>
        <w:t>2</w:t>
        <w:t xml:space="preserve">)  </w:t>
      </w:r>
      <w:r>
        <w:rPr/>
      </w:r>
      <w:r>
        <w:t xml:space="preserve">The chimney is lined and structurally intact; and</w:t>
      </w:r>
    </w:p>
    <w:p>
      <w:pPr>
        <w:jc w:val="both"/>
        <w:spacing w:before="100" w:after="0"/>
        <w:ind w:start="1080"/>
      </w:pPr>
      <w:r>
        <w:rPr/>
        <w:t>(</w:t>
        <w:t>3</w:t>
        <w:t xml:space="preserve">)  </w:t>
      </w:r>
      <w:r>
        <w:rPr/>
      </w:r>
      <w:r>
        <w:t xml:space="preserve">A carbon monoxide detector is installed in the building near a bedroom; or</w:t>
      </w:r>
      <w:r>
        <w:t xml:space="preserve">  </w:t>
      </w:r>
      <w:r xmlns:wp="http://schemas.openxmlformats.org/drawingml/2010/wordprocessingDrawing" xmlns:w15="http://schemas.microsoft.com/office/word/2012/wordml">
        <w:rPr>
          <w:rFonts w:ascii="Arial" w:hAnsi="Arial" w:cs="Arial"/>
          <w:sz w:val="22"/>
          <w:szCs w:val="22"/>
        </w:rPr>
        <w:t xml:space="preserve">[PL 2011, c. 225, §3 (NEW).]</w:t>
      </w:r>
    </w:p>
    <w:p>
      <w:pPr>
        <w:jc w:val="both"/>
        <w:spacing w:before="100" w:after="0"/>
        <w:ind w:start="720"/>
      </w:pPr>
      <w:r>
        <w:rPr/>
        <w:t>B</w:t>
        <w:t xml:space="preserve">.  </w:t>
      </w:r>
      <w:r>
        <w:rPr/>
      </w:r>
      <w:r>
        <w:t xml:space="preserve">The connection of a solid fuel burning appliance to a chimney flue to which another appliance burning oil or solid fuel is connected for any chimney existing and in use on or after February 2, 1998 as long as:</w:t>
      </w:r>
    </w:p>
    <w:p>
      <w:pPr>
        <w:jc w:val="both"/>
        <w:spacing w:before="100" w:after="0"/>
        <w:ind w:start="1080"/>
      </w:pPr>
      <w:r>
        <w:rPr/>
        <w:t>(</w:t>
        <w:t>1</w:t>
        <w:t xml:space="preserve">)  </w:t>
      </w:r>
      <w:r>
        <w:rPr/>
      </w:r>
      <w:r>
        <w:t xml:space="preserve">Sufficient draft is available for each appliance;</w:t>
      </w:r>
    </w:p>
    <w:p>
      <w:pPr>
        <w:jc w:val="both"/>
        <w:spacing w:before="100" w:after="0"/>
        <w:ind w:start="1080"/>
      </w:pPr>
      <w:r>
        <w:rPr/>
        <w:t>(</w:t>
        <w:t>2</w:t>
        <w:t xml:space="preserve">)  </w:t>
      </w:r>
      <w:r>
        <w:rPr/>
      </w:r>
      <w:r>
        <w:t xml:space="preserve">The chimney is lined and structurally intact;</w:t>
      </w:r>
    </w:p>
    <w:p>
      <w:pPr>
        <w:jc w:val="both"/>
        <w:spacing w:before="100" w:after="0"/>
        <w:ind w:start="1080"/>
      </w:pPr>
      <w:r>
        <w:rPr/>
        <w:t>(</w:t>
        <w:t>3</w:t>
        <w:t xml:space="preserve">)  </w:t>
      </w:r>
      <w:r>
        <w:rPr/>
      </w:r>
      <w:r>
        <w:t xml:space="preserve">A carbon monoxide detector is installed in the building near a bedroom;</w:t>
      </w:r>
    </w:p>
    <w:p>
      <w:pPr>
        <w:jc w:val="both"/>
        <w:spacing w:before="100" w:after="0"/>
        <w:ind w:start="1080"/>
      </w:pPr>
      <w:r>
        <w:rPr/>
        <w:t>(</w:t>
        <w:t>4</w:t>
        <w:t xml:space="preserve">)  </w:t>
      </w:r>
      <w:r>
        <w:rPr/>
      </w:r>
      <w:r>
        <w:t xml:space="preserve">The solid fuel burning appliance has been listed by Underwriters Laboratories or by an independent, nationally recognized testing laboratory or other testing laboratory approved by the board; and</w:t>
      </w:r>
    </w:p>
    <w:p>
      <w:pPr>
        <w:jc w:val="both"/>
        <w:spacing w:before="100" w:after="0"/>
        <w:ind w:start="1080"/>
      </w:pPr>
      <w:r>
        <w:rPr/>
        <w:t>(</w:t>
        <w:t>5</w:t>
        <w:t xml:space="preserve">)  </w:t>
      </w:r>
      <w:r>
        <w:rPr/>
      </w:r>
      <w:r>
        <w:t xml:space="preserve">The solid fuel burning appliance is installed in accordance with the manufacturer's installation specifications.</w:t>
      </w:r>
      <w:r>
        <w:t xml:space="preserve">  </w:t>
      </w:r>
      <w:r xmlns:wp="http://schemas.openxmlformats.org/drawingml/2010/wordprocessingDrawing" xmlns:w15="http://schemas.microsoft.com/office/word/2012/wordml">
        <w:rPr>
          <w:rFonts w:ascii="Arial" w:hAnsi="Arial" w:cs="Arial"/>
          <w:sz w:val="22"/>
          <w:szCs w:val="22"/>
        </w:rPr>
        <w:t xml:space="preserve">[PL 2011, c. 225, §3 (NEW).]</w:t>
      </w:r>
    </w:p>
    <w:p>
      <w:pPr>
        <w:jc w:val="both"/>
        <w:spacing w:before="100" w:after="0"/>
        <w:ind w:start="360"/>
      </w:pPr>
      <w:r>
        <w:rPr/>
      </w:r>
      <w:r>
        <w:rPr/>
      </w:r>
      <w:r>
        <w:t xml:space="preserve">The board may adopt by rule national or other technical standards, in whole or in part, that it considers necessary to carry out the provisions of this chapter.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225, §3 (RPR).]</w:t>
      </w:r>
    </w:p>
    <w:p>
      <w:pPr>
        <w:jc w:val="both"/>
        <w:spacing w:before="100" w:after="0"/>
        <w:ind w:start="360"/>
        <w:ind w:firstLine="360"/>
      </w:pPr>
      <w:r>
        <w:rPr>
          <w:b/>
        </w:rPr>
        <w:t>3</w:t>
        <w:t xml:space="preserve">.  </w:t>
      </w:r>
      <w:r>
        <w:rPr>
          <w:b/>
        </w:rPr>
        <w:t xml:space="preserve">Emerging technologies.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169,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 PL 2009, c. 652, Pt. A, §47 (AMD). PL 2011, c. 225, §3 (AMD). PL 2015, c. 169,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§18123.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§18123.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§18123.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